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do uchwały nr 10 </w:t>
      </w:r>
    </w:p>
    <w:p w:rsidR="00000000" w:rsidDel="00000000" w:rsidP="00000000" w:rsidRDefault="00000000" w:rsidRPr="00000000" w14:paraId="00000002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Komitetu Rady Ministrów do Spraw Cyfryzacji </w:t>
      </w:r>
    </w:p>
    <w:p w:rsidR="00000000" w:rsidDel="00000000" w:rsidP="00000000" w:rsidRDefault="00000000" w:rsidRPr="00000000" w14:paraId="00000003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 dnia 16 kwietnia 2020 r.  </w:t>
      </w:r>
    </w:p>
    <w:p w:rsidR="00000000" w:rsidDel="00000000" w:rsidP="00000000" w:rsidRDefault="00000000" w:rsidRPr="00000000" w14:paraId="00000004">
      <w:pPr>
        <w:tabs>
          <w:tab w:val="left" w:leader="none" w:pos="708"/>
          <w:tab w:val="left" w:leader="none" w:pos="1416"/>
          <w:tab w:val="center" w:leader="none" w:pos="4748"/>
        </w:tabs>
        <w:spacing w:after="0" w:before="180" w:lineRule="auto"/>
        <w:ind w:firstLine="425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120" w:before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Raport z postępu rzeczowo-finansowego projektu informatycznego </w:t>
      </w:r>
    </w:p>
    <w:p w:rsidR="00000000" w:rsidDel="00000000" w:rsidP="00000000" w:rsidRDefault="00000000" w:rsidRPr="00000000" w14:paraId="00000006">
      <w:pPr>
        <w:pStyle w:val="Heading1"/>
        <w:spacing w:after="120" w:before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 IV kwartał 2024 roku</w:t>
      </w:r>
      <w:r w:rsidDel="00000000" w:rsidR="00000000" w:rsidRPr="00000000">
        <w:rPr>
          <w:rtl w:val="0"/>
        </w:rPr>
      </w:r>
    </w:p>
    <w:tbl>
      <w:tblPr>
        <w:tblStyle w:val="Table1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372"/>
        <w:tblGridChange w:id="0">
          <w:tblGrid>
            <w:gridCol w:w="2689"/>
            <w:gridCol w:w="6372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Tytuł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tl w:val="0"/>
              </w:rPr>
              <w:t xml:space="preserve">Prowadzenie i rozwój Zintegrowanego Rejestru Kwalifikacji jako narzędzia wspierającego uczenie się przez całe życie (ZRK3)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9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Wnioskodawca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Minister Edukacji Narodowej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B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Beneficjent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Instytut Badań Edukacyjnych – Państwowy Instytut Badawczy</w:t>
            </w:r>
            <w:r w:rsidDel="00000000" w:rsidR="00000000" w:rsidRPr="00000000">
              <w:rPr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D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Partnerzy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Brak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F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Źródło finansowania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Program Fundusze Europejskie dla Rozwoju Społecznego 2021-2027, Priorytet, Priorytet FERS.01 Umiejętności,  Działanie FERS.01.08 Rozwój systemu edukacji i uczenia się dorosłych  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w części FERS: 82,52%, w części wkładu krajowego: 17,48%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budżet państwa: część 30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25 000 000,00 zł brutto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projektu - wydatki kwalifikowalne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4d34og8" w:id="1"/>
            <w:bookmarkEnd w:id="1"/>
            <w:r w:rsidDel="00000000" w:rsidR="00000000" w:rsidRPr="00000000">
              <w:rPr>
                <w:rtl w:val="0"/>
              </w:rPr>
              <w:t xml:space="preserve">25 000 000,00 zł brutto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Okres realizacji </w:t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rozpoczęcia realizacji projektu: 01-11-2023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zakończenia realizacji projektu: 30-06-2026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</w:tbl>
    <w:p w:rsidR="00000000" w:rsidDel="00000000" w:rsidP="00000000" w:rsidRDefault="00000000" w:rsidRPr="00000000" w14:paraId="0000001F">
      <w:pPr>
        <w:pStyle w:val="Heading2"/>
        <w:numPr>
          <w:ilvl w:val="0"/>
          <w:numId w:val="1"/>
        </w:numPr>
        <w:spacing w:before="360" w:lineRule="auto"/>
        <w:ind w:left="284" w:right="282" w:hanging="284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Otoczenie prawne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1000 znaków&gt;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 dotyczy - projekt może zostać zrealizowany w obecnym stanie prawnym.</w:t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2"/>
        </w:numPr>
        <w:ind w:left="36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Postęp finansowy</w:t>
      </w: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3260"/>
        <w:gridCol w:w="3402"/>
        <w:tblGridChange w:id="0">
          <w:tblGrid>
            <w:gridCol w:w="2972"/>
            <w:gridCol w:w="3260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projektu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wydatkowanych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zaangażowanych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czasu przeznaczonego na realizację projektu, który upłynął do końca okresu sprawozdawczego: </w:t>
            </w:r>
            <w:r w:rsidDel="00000000" w:rsidR="00000000" w:rsidRPr="00000000">
              <w:rPr>
                <w:b w:val="1"/>
                <w:rtl w:val="0"/>
              </w:rPr>
              <w:t xml:space="preserve">43,75%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(14 m-cy / 32 m-ce)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wartość wydatków poniesionych w projekcie w stosunku do całkowitego kosztu p</w:t>
            </w:r>
            <w:r w:rsidDel="00000000" w:rsidR="00000000" w:rsidRPr="00000000">
              <w:rPr>
                <w:highlight w:val="white"/>
                <w:rtl w:val="0"/>
              </w:rPr>
              <w:t xml:space="preserve">rojektu: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37,70 %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(9 425 103,99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b w:val="1"/>
              </w:rPr>
            </w:pPr>
            <w:bookmarkStart w:colFirst="0" w:colLast="0" w:name="_heading=h.3rdcrjn" w:id="2"/>
            <w:bookmarkEnd w:id="2"/>
            <w:r w:rsidDel="00000000" w:rsidR="00000000" w:rsidRPr="00000000">
              <w:rPr>
                <w:rtl w:val="0"/>
              </w:rP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Del="00000000" w:rsidR="00000000" w:rsidRPr="00000000">
              <w:rPr>
                <w:b w:val="1"/>
                <w:rtl w:val="0"/>
              </w:rPr>
              <w:t xml:space="preserve">31,33 %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(7 832 656,75 zł</w:t>
            </w:r>
            <w:r w:rsidDel="00000000" w:rsidR="00000000" w:rsidRPr="00000000">
              <w:rPr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  <w:t xml:space="preserve">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% wartość środków zaangażowanych w projekcie: 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37,70 %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(9 425 103,99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dy6vkm" w:id="3"/>
            <w:bookmarkEnd w:id="3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numPr>
          <w:ilvl w:val="0"/>
          <w:numId w:val="2"/>
        </w:numPr>
        <w:spacing w:after="20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Postęp rzeczowy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5000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/>
      </w:pPr>
      <w:bookmarkStart w:colFirst="0" w:colLast="0" w:name="_heading=h.lnxbz9" w:id="4"/>
      <w:bookmarkEnd w:id="4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Kamienie milowe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9"/>
        <w:gridCol w:w="1417"/>
        <w:gridCol w:w="1560"/>
        <w:gridCol w:w="1559"/>
        <w:gridCol w:w="1983"/>
        <w:tblGridChange w:id="0">
          <w:tblGrid>
            <w:gridCol w:w="3119"/>
            <w:gridCol w:w="1417"/>
            <w:gridCol w:w="1560"/>
            <w:gridCol w:w="1559"/>
            <w:gridCol w:w="1983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Powiązane wskaźniki projektu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Status realizacji kamienia milowego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Podpisana umowa z dostawcą chmury obliczeniowej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11-2023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03-2024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03-2024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do sprawozdawczości dla IC i PZZJ-tów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bookmarkStart w:colFirst="0" w:colLast="0" w:name="_heading=h.gjdgxs" w:id="5"/>
            <w:bookmarkEnd w:id="5"/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Uruchomiona, zmodyfikowana przeglądarka ram kwalifikacji (Polskiej Ramy Kwalifikacji i sektorowych ram kwalifikacji)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uwierzytelniania użytkowników „CAS”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12-2024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12-2024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03-2025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04-2024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Uruchomione postępowanie przetargowe na wykonanie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Osiągnięty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09-2025</w:t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Podpisana umowa z wykonawcą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10-2025</w:t>
            </w:r>
          </w:p>
        </w:tc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portal ZSK udostępniający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12-2025</w:t>
            </w:r>
          </w:p>
        </w:tc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02-2026</w:t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wspomagające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sprawozdawczości dla IC i PZZJ-ów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„Kompas”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„Zarządzania kwalifikacjami”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składania i rozpatrywania wszystkich rodzajów wniosków przewidzianych ustawą o ZSK, adresowanych do ministrów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system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KPI nr 3; </w:t>
              <w:br w:type="textWrapping"/>
              <w:t xml:space="preserve">1 szt.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</w:tbl>
    <w:p w:rsidR="00000000" w:rsidDel="00000000" w:rsidP="00000000" w:rsidRDefault="00000000" w:rsidRPr="00000000" w14:paraId="000000A2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Wskaźniki efektywności projektu (KPI) </w:t>
      </w:r>
    </w:p>
    <w:tbl>
      <w:tblPr>
        <w:tblStyle w:val="Table4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5"/>
        <w:gridCol w:w="1278"/>
        <w:gridCol w:w="1842"/>
        <w:gridCol w:w="1701"/>
        <w:gridCol w:w="2268"/>
        <w:tblGridChange w:id="0">
          <w:tblGrid>
            <w:gridCol w:w="2545"/>
            <w:gridCol w:w="1278"/>
            <w:gridCol w:w="1842"/>
            <w:gridCol w:w="1701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Jedn. miary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docelowa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osiągnięta od początku realizacji projektu (narastająco)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Liczba użytkowników korzystających ze Zintegrowanego Rejestru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Kwalifikacji (z systemu ZRK). </w:t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115 000</w:t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bookmarkStart w:colFirst="0" w:colLast="0" w:name="_heading=h.2s8eyo1" w:id="6"/>
            <w:bookmarkEnd w:id="6"/>
            <w:r w:rsidDel="00000000" w:rsidR="00000000" w:rsidRPr="00000000">
              <w:rPr>
                <w:rtl w:val="0"/>
              </w:rPr>
              <w:t xml:space="preserve">100 579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Liczba nowych pakietów materiałów pomocniczych (materiały</w:t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informacyjne, instrukcje, wzory formularzy itp.) dla poszczególnych grup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użytkowników rejestru ZRK.</w:t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Liczba udoskonalonych Zintegrowanych Rejestrów Kwalifikacji</w:t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Liczba przeprowadzonych seminariów/warsztatów dotyczących systemu ZRK dla różnych grup użytkowników).</w:t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0C1">
      <w:pPr>
        <w:pStyle w:val="Heading2"/>
        <w:numPr>
          <w:ilvl w:val="0"/>
          <w:numId w:val="2"/>
        </w:numPr>
        <w:spacing w:after="120"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30j0zll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E-usługi A2A, A2B, A2C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tbl>
      <w:tblPr>
        <w:tblStyle w:val="Table5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i rozpatrywanie wszystkich rodzajów wniosków przewidzianych ustawą o ZSK adresowanych do ministrów. 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06-2026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przez Instytucje certyfikujące (IC) i Podmioty zewnętrznego zapewniania jakości (PZZJ) informacji kwartalnych oraz okresowych sprawozdań i raportów przewidzianych ustawą o ZSK, adresowanych do ministrów. 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pStyle w:val="Heading2"/>
        <w:numPr>
          <w:ilvl w:val="0"/>
          <w:numId w:val="2"/>
        </w:numPr>
        <w:spacing w:before="360" w:lineRule="auto"/>
        <w:ind w:left="284" w:hanging="284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Udostępnione informacje sektora publicznego i zdigitalizowane zasoby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Informacje o kwalifikacjach włączonych do ZSK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Informacje o podmiotach powiązanych z kwalifikacjami włączonymi do ZSK (podmioty wnioskujące o włączenie kwalifikacji, instytucje certyfikujące i walidujące, ministrowie właściwi dla kwalifikacji, podmioty zewnętrznego zapewniania jakości).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Style w:val="Heading3"/>
        <w:numPr>
          <w:ilvl w:val="0"/>
          <w:numId w:val="2"/>
        </w:numPr>
        <w:spacing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etisj87c8xyl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Produkty końcowe projektu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(inne niż wskazane w pkt 4 i 5)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</w:p>
    <w:tbl>
      <w:tblPr>
        <w:tblStyle w:val="Table7"/>
        <w:tblW w:w="963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6"/>
        <w:gridCol w:w="1701"/>
        <w:gridCol w:w="1843"/>
        <w:gridCol w:w="3543"/>
        <w:tblGridChange w:id="0">
          <w:tblGrid>
            <w:gridCol w:w="2546"/>
            <w:gridCol w:w="1701"/>
            <w:gridCol w:w="1843"/>
            <w:gridCol w:w="3543"/>
          </w:tblGrid>
        </w:tblGridChange>
      </w:tblGrid>
      <w:tr>
        <w:trPr>
          <w:cantSplit w:val="0"/>
          <w:trHeight w:val="674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produktu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Komplementarność względem produktów innych projektów 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Zmodyfikowane API (ogólne) systemu ZRK</w:t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Utworzone API rejestru ZRK dla BUR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system ZRK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POL-on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POL-on do systemu ZRK)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ELA do systemu ZRK)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SIO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SIO do systemu ZRK)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BUR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uzupełnianie się (dwustronna wymiana danych)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dane.gov.pl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wdrażanie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QDR 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Węzeł krajowy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(uwierzytelnianie użytkowników wymagających identyfikacji)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Materiały informacyjno-edukacyjne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Lista odbytych szkoleń przez personel projektu, wraz z programami szkoleń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Ryzyka </w:t>
      </w: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12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t3h5sf" w:id="9"/>
      <w:bookmarkEnd w:id="9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realizację projektu</w:t>
      </w:r>
    </w:p>
    <w:tbl>
      <w:tblPr>
        <w:tblStyle w:val="Table8"/>
        <w:tblW w:w="960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355"/>
        <w:tblGridChange w:id="0">
          <w:tblGrid>
            <w:gridCol w:w="2977"/>
            <w:gridCol w:w="1276"/>
            <w:gridCol w:w="992"/>
            <w:gridCol w:w="4355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0cece" w:val="clear"/>
            <w:vAlign w:val="center"/>
          </w:tcPr>
          <w:bookmarkStart w:colFirst="0" w:colLast="0" w:name="bookmark=id.w5xg8egfx9ud" w:id="10"/>
          <w:bookmarkEnd w:id="10"/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Niedotrzymanie warunków umowy przez wybranych w postępowaniach Wykonawców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0" w:lineRule="auto"/>
              <w:rPr/>
            </w:pPr>
            <w:bookmarkStart w:colFirst="0" w:colLast="0" w:name="_heading=h.2et92p0" w:id="11"/>
            <w:bookmarkEnd w:id="11"/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i raportowanie postępu prac.</w:t>
            </w:r>
          </w:p>
          <w:p w:rsidR="00000000" w:rsidDel="00000000" w:rsidP="00000000" w:rsidRDefault="00000000" w:rsidRPr="00000000" w14:paraId="000001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Założenie bezpiecznego terminu wykonania zamówienia.</w:t>
            </w:r>
          </w:p>
          <w:p w:rsidR="00000000" w:rsidDel="00000000" w:rsidP="00000000" w:rsidRDefault="00000000" w:rsidRPr="00000000" w14:paraId="0000012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Postawienie wysokich wymagań jakościowych ograniczających wyłonienie niesolidnego Wykonawcy.</w:t>
            </w:r>
          </w:p>
          <w:p w:rsidR="00000000" w:rsidDel="00000000" w:rsidP="00000000" w:rsidRDefault="00000000" w:rsidRPr="00000000" w14:paraId="0000012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2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kontrola nad procesem realizacji projektu.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wykrywanie ewentualnych opóźnień lub problemów.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Efektywne zarządzanie zasobami i kosztami.</w:t>
            </w:r>
          </w:p>
          <w:p w:rsidR="00000000" w:rsidDel="00000000" w:rsidP="00000000" w:rsidRDefault="00000000" w:rsidRPr="00000000" w14:paraId="0000012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Stabilność harmonogramu projektu.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Wysoka jakość dostarczanych produktów lub usług.</w:t>
            </w:r>
          </w:p>
          <w:p w:rsidR="00000000" w:rsidDel="00000000" w:rsidP="00000000" w:rsidRDefault="00000000" w:rsidRPr="00000000" w14:paraId="0000012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problemów jakościowych podczas odbioru prac od Wykonawcy.</w:t>
            </w:r>
          </w:p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Niedotrzymanie warunków umowy przez dostawcę usługi w chmurze obliczeniowej (np. ciągłość, bezpieczeństwo)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3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Utrzymywanie na własnych serwerach żywych kopii systemu, co umożliwi kontynuowanie funkcjonowania systemu ZRK po kilkugodzinnej przerwie.</w:t>
            </w:r>
          </w:p>
          <w:p w:rsidR="00000000" w:rsidDel="00000000" w:rsidP="00000000" w:rsidRDefault="00000000" w:rsidRPr="00000000" w14:paraId="0000013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3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ciągłości operacyjnej.</w:t>
            </w:r>
          </w:p>
          <w:p w:rsidR="00000000" w:rsidDel="00000000" w:rsidP="00000000" w:rsidRDefault="00000000" w:rsidRPr="00000000" w14:paraId="000001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strat czasowych.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niezawodności.</w:t>
            </w:r>
          </w:p>
          <w:p w:rsidR="00000000" w:rsidDel="00000000" w:rsidP="00000000" w:rsidRDefault="00000000" w:rsidRPr="00000000" w14:paraId="0000013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Zminimalizowane ryzyko utraty danych.</w:t>
            </w:r>
          </w:p>
          <w:p w:rsidR="00000000" w:rsidDel="00000000" w:rsidP="00000000" w:rsidRDefault="00000000" w:rsidRPr="00000000" w14:paraId="0000013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przywracanie funkcji systemu.</w:t>
            </w:r>
          </w:p>
          <w:p w:rsidR="00000000" w:rsidDel="00000000" w:rsidP="00000000" w:rsidRDefault="00000000" w:rsidRPr="00000000" w14:paraId="0000013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Niepowołany dostęp do oprogramowania rejestru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3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dostępu do systemu.</w:t>
            </w:r>
          </w:p>
          <w:p w:rsidR="00000000" w:rsidDel="00000000" w:rsidP="00000000" w:rsidRDefault="00000000" w:rsidRPr="00000000" w14:paraId="0000013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testów bezpieczeństwa.</w:t>
            </w:r>
          </w:p>
          <w:p w:rsidR="00000000" w:rsidDel="00000000" w:rsidP="00000000" w:rsidRDefault="00000000" w:rsidRPr="00000000" w14:paraId="0000013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aktualizacji oprogramowania.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kopii bezpieczeństwa.</w:t>
            </w:r>
          </w:p>
          <w:p w:rsidR="00000000" w:rsidDel="00000000" w:rsidP="00000000" w:rsidRDefault="00000000" w:rsidRPr="00000000" w14:paraId="0000014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4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ryzyka niepowołanego dostępu do oprogramowania rejestru.</w:t>
            </w:r>
          </w:p>
          <w:p w:rsidR="00000000" w:rsidDel="00000000" w:rsidP="00000000" w:rsidRDefault="00000000" w:rsidRPr="00000000" w14:paraId="0000014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zgodności z normami i regulacjami dotyczącymi bezpieczeństwa.</w:t>
            </w:r>
          </w:p>
          <w:p w:rsidR="00000000" w:rsidDel="00000000" w:rsidP="00000000" w:rsidRDefault="00000000" w:rsidRPr="00000000" w14:paraId="0000014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atakami.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utratą danych.</w:t>
            </w:r>
          </w:p>
          <w:p w:rsidR="00000000" w:rsidDel="00000000" w:rsidP="00000000" w:rsidRDefault="00000000" w:rsidRPr="00000000" w14:paraId="0000014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4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Niezapewnienie odpowiedniej kadry IT w projekcie</w:t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4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Prowadzenie rekrutacji na stanowiska IT wieloma kanałami, także przy użyciu największych portali ogłoszeń o pracę.</w:t>
            </w:r>
          </w:p>
          <w:p w:rsidR="00000000" w:rsidDel="00000000" w:rsidP="00000000" w:rsidRDefault="00000000" w:rsidRPr="00000000" w14:paraId="0000014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Zastosowanie metod pozyskania pracowników w oparciu o tzw. body leasing w przypadku problemów z rekrutacją bezpośrednią.</w:t>
            </w:r>
          </w:p>
          <w:p w:rsidR="00000000" w:rsidDel="00000000" w:rsidP="00000000" w:rsidRDefault="00000000" w:rsidRPr="00000000" w14:paraId="0000014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Wystosowanie do IP/IZ wniosku o podniesienie limitu stawek wynagrodzeń oraz zwiększenie alokacji środków projektu w przypadku problemów z rekrutacją wynikających z niekonkurencyjnych stawek wynagrodzeń.</w:t>
            </w:r>
          </w:p>
          <w:p w:rsidR="00000000" w:rsidDel="00000000" w:rsidP="00000000" w:rsidRDefault="00000000" w:rsidRPr="00000000" w14:paraId="0000014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4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Odpowiednia kadra do realizacji projektu.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zasięgu ogłoszeń, dotarcie do szerszego grona potencjalnych kandydatów.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Większa liczba zgłoszeń od potencjalnych kandydatów.</w:t>
            </w:r>
          </w:p>
          <w:p w:rsidR="00000000" w:rsidDel="00000000" w:rsidP="00000000" w:rsidRDefault="00000000" w:rsidRPr="00000000" w14:paraId="0000015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Dywersyfikacja sposobów zapewnienia niezbędnej kadry  (korzystanie z wiedzy i doświadczenia specjalistów zewnętrznych).</w:t>
            </w:r>
          </w:p>
          <w:p w:rsidR="00000000" w:rsidDel="00000000" w:rsidP="00000000" w:rsidRDefault="00000000" w:rsidRPr="00000000" w14:paraId="0000015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Podniesienie limitu wynagrodzeń może umożliwić zatrudnienie doświadczonych pracowników.</w:t>
            </w:r>
          </w:p>
          <w:p w:rsidR="00000000" w:rsidDel="00000000" w:rsidP="00000000" w:rsidRDefault="00000000" w:rsidRPr="00000000" w14:paraId="0000015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opóźnień związanych z rekrutacją.</w:t>
            </w:r>
          </w:p>
          <w:p w:rsidR="00000000" w:rsidDel="00000000" w:rsidP="00000000" w:rsidRDefault="00000000" w:rsidRPr="00000000" w14:paraId="0000015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Brak zasilania rejestru ZRK danymi z BUR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Mała</w:t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Przygotowanie propozycji modelu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pobierania danych uwzględniającego ogólnodostępne API wystawione przez BUR w przypadku braku uzyskania dla rejestru ZRK dedykowanego API z BUR.</w:t>
            </w:r>
          </w:p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5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Zapewnienie dostępu do potrzebnych danych.</w:t>
            </w:r>
          </w:p>
          <w:p w:rsidR="00000000" w:rsidDel="00000000" w:rsidP="00000000" w:rsidRDefault="00000000" w:rsidRPr="00000000" w14:paraId="0000015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Elastyczność rozwiązania w przypadku ewentualnych modyfikacji w dostępie do danych.</w:t>
            </w:r>
          </w:p>
          <w:p w:rsidR="00000000" w:rsidDel="00000000" w:rsidP="00000000" w:rsidRDefault="00000000" w:rsidRPr="00000000" w14:paraId="0000015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Skuteczne pobieranie danych.</w:t>
            </w:r>
          </w:p>
          <w:p w:rsidR="00000000" w:rsidDel="00000000" w:rsidP="00000000" w:rsidRDefault="00000000" w:rsidRPr="00000000" w14:paraId="0000015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ryzyka przestojów.</w:t>
            </w:r>
          </w:p>
          <w:p w:rsidR="00000000" w:rsidDel="00000000" w:rsidP="00000000" w:rsidRDefault="00000000" w:rsidRPr="00000000" w14:paraId="0000016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6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Naruszenie integralności danych osobowych</w:t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Mała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6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Zweryfikowanie zasadności wykorzystywania</w:t>
            </w:r>
          </w:p>
          <w:p w:rsidR="00000000" w:rsidDel="00000000" w:rsidP="00000000" w:rsidRDefault="00000000" w:rsidRPr="00000000" w14:paraId="0000016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danych osobowych na potrzeby realizacji projektu ZRK3.</w:t>
            </w:r>
          </w:p>
          <w:p w:rsidR="00000000" w:rsidDel="00000000" w:rsidP="00000000" w:rsidRDefault="00000000" w:rsidRPr="00000000" w14:paraId="0000016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Przeprowadzenie analizy ryzyka ochrony danych osobowych. </w:t>
            </w:r>
          </w:p>
          <w:p w:rsidR="00000000" w:rsidDel="00000000" w:rsidP="00000000" w:rsidRDefault="00000000" w:rsidRPr="00000000" w14:paraId="0000016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Przeprowadzenie oceny skutków dla ochrony danych. Ocena spełnia wymagania określone w art. 25 ust. 1 i art. 35 (w szczególności ust. 1 oraz ust. 10) rozporządzenia 2016/679.</w:t>
            </w:r>
          </w:p>
          <w:p w:rsidR="00000000" w:rsidDel="00000000" w:rsidP="00000000" w:rsidRDefault="00000000" w:rsidRPr="00000000" w14:paraId="0000016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Weryfikowanie aktualnych aktów prawnych i dostosowywanie się do ich zapisów.</w:t>
            </w:r>
          </w:p>
          <w:p w:rsidR="00000000" w:rsidDel="00000000" w:rsidP="00000000" w:rsidRDefault="00000000" w:rsidRPr="00000000" w14:paraId="0000016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Zawieranie umów powierzenia przetwarzania danych z dostawcami zewnętrznymi.</w:t>
            </w:r>
          </w:p>
          <w:p w:rsidR="00000000" w:rsidDel="00000000" w:rsidP="00000000" w:rsidRDefault="00000000" w:rsidRPr="00000000" w14:paraId="0000016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Przeprowadzanie szkoleń z zakresu ochrony danych osobowych, bezpieczeństwa informacji dla pracowników.</w:t>
            </w:r>
          </w:p>
          <w:p w:rsidR="00000000" w:rsidDel="00000000" w:rsidP="00000000" w:rsidRDefault="00000000" w:rsidRPr="00000000" w14:paraId="0000016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6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użyteczności produktów końcowych, w ramach których będzie dochodziło do przetwarzania danych osobowych.</w:t>
            </w:r>
          </w:p>
        </w:tc>
      </w:tr>
    </w:tbl>
    <w:p w:rsidR="00000000" w:rsidDel="00000000" w:rsidP="00000000" w:rsidRDefault="00000000" w:rsidRPr="00000000" w14:paraId="0000016E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7dp8vu" w:id="12"/>
      <w:bookmarkEnd w:id="12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utrzymanie efektów projektu</w:t>
      </w:r>
    </w:p>
    <w:tbl>
      <w:tblPr>
        <w:tblStyle w:val="Table9"/>
        <w:tblW w:w="964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400"/>
        <w:tblGridChange w:id="0">
          <w:tblGrid>
            <w:gridCol w:w="2977"/>
            <w:gridCol w:w="1276"/>
            <w:gridCol w:w="992"/>
            <w:gridCol w:w="4400"/>
          </w:tblGrid>
        </w:tblGridChange>
      </w:tblGrid>
      <w:tr>
        <w:trPr>
          <w:cantSplit w:val="0"/>
          <w:trHeight w:val="72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bookmarkStart w:colFirst="0" w:colLast="0" w:name="_heading=h.tyjcwt" w:id="13"/>
            <w:bookmarkEnd w:id="13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Zmiany legislacyjne wpływające na zmiany w rejestrze ZRK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Bieżący monitoring zmian prawnych.</w:t>
            </w:r>
          </w:p>
          <w:p w:rsidR="00000000" w:rsidDel="00000000" w:rsidP="00000000" w:rsidRDefault="00000000" w:rsidRPr="00000000" w14:paraId="0000017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z wyprzedzeniem dostosowywania organizacyjno-technicznego rejestru ZRK.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Brak finansowania lub niewystarczający poziom finansowania dla utrzymania i dalszego rozwoju rejestru ZRK i narzędzi powiązanych z tym rejestrem po zakończeniu projektu.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Duża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Zapewnienie finansowania rejestru ZRK na odpowiednim poziomie z budżetu w przepisach prawa.</w:t>
            </w:r>
          </w:p>
          <w:p w:rsidR="00000000" w:rsidDel="00000000" w:rsidP="00000000" w:rsidRDefault="00000000" w:rsidRPr="00000000" w14:paraId="0000017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długofalowe, aby z wyprzedzeniem identyfikować potrzeby w zakresie zasobów finansowych niezbędnych do utrzymania wypracowanych efektów projektu.</w:t>
            </w:r>
          </w:p>
        </w:tc>
      </w:tr>
    </w:tbl>
    <w:p w:rsidR="00000000" w:rsidDel="00000000" w:rsidP="00000000" w:rsidRDefault="00000000" w:rsidRPr="00000000" w14:paraId="0000017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0" w:lineRule="auto"/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Wymiarowanie systemu informatycznego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  <w:t xml:space="preserve">Nie dotyczy</w:t>
      </w:r>
    </w:p>
    <w:p w:rsidR="00000000" w:rsidDel="00000000" w:rsidP="00000000" w:rsidRDefault="00000000" w:rsidRPr="00000000" w14:paraId="0000017F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hanging="360"/>
        <w:jc w:val="both"/>
        <w:rPr>
          <w:rFonts w:ascii="Arial" w:cs="Arial" w:eastAsia="Arial" w:hAnsi="Arial"/>
        </w:rPr>
      </w:pPr>
      <w:bookmarkStart w:colFirst="0" w:colLast="0" w:name="_heading=h.1fob9te" w:id="14"/>
      <w:bookmarkEnd w:id="14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Dane kontaktowe: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Agnieszka Marszałek, Instytut Badań Edukacyjnych, a.marszalek@ibe.edu.pl, tel. +48 603 463 227, </w:t>
        <w:br w:type="textWrapping"/>
        <w:t xml:space="preserve">Emilia Danowska-Florczyk, Instytut Badań Edukacyjnych, e.danowska@ibe.edu.pl, tel. +48 505 964 273.</w:t>
      </w:r>
    </w:p>
    <w:sectPr>
      <w:footerReference r:id="rId8" w:type="default"/>
      <w:pgSz w:h="16838" w:w="11906" w:orient="portrait"/>
      <w:pgMar w:bottom="1417" w:top="1417" w:left="1418" w:right="84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Strona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z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 mocy Rozporządzenia Rady Ministrów z 27.12.2024 r. poz. 1959, od 1.01.2025 r. Instytutowi Badań Edukacyjnych nadano status państwowego instytutu badawczego</w:t>
      </w:r>
    </w:p>
  </w:footnote>
  <w:footnote w:id="1">
    <w:p w:rsidR="00000000" w:rsidDel="00000000" w:rsidP="00000000" w:rsidRDefault="00000000" w:rsidRPr="00000000" w14:paraId="0000018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Wartość wydatków kwalifikowalnych wykazanych w zatwierdzonych wnioskach o płatność została pomniejszona o korektę finansową (łącznie 396 zł) - wydatki niekwalifikowalne niestanowiące nieprawidłowości, przedstawione przez IBE we wnioskach o płatność do MEN. Korekta finansowa nie zmniejsza wartości dofinansowania.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Poprawka">
    <w:name w:val="Revision"/>
    <w:hidden w:val="1"/>
    <w:uiPriority w:val="99"/>
    <w:semiHidden w:val="1"/>
    <w:rsid w:val="0062256D"/>
    <w:pPr>
      <w:spacing w:after="0" w:line="240" w:lineRule="auto"/>
    </w:pPr>
  </w:style>
  <w:style w:type="paragraph" w:styleId="pf0" w:customStyle="1">
    <w:name w:val="pf0"/>
    <w:basedOn w:val="Normalny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Domylnaczcionkaakapitu"/>
    <w:rsid w:val="0062256D"/>
    <w:rPr>
      <w:rFonts w:ascii="Segoe UI" w:cs="Segoe UI" w:hAnsi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 w:val="1"/>
    <w:unhideWhenUsed w:val="1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5E1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5E119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E1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5E119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5E119F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401B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401BF"/>
    <w:rPr>
      <w:rFonts w:ascii="Segoe UI" w:cs="Segoe UI" w:hAnsi="Segoe UI"/>
      <w:sz w:val="18"/>
      <w:szCs w:val="18"/>
    </w:r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kapitzlist">
    <w:name w:val="List Paragraph"/>
    <w:basedOn w:val="Normalny"/>
    <w:uiPriority w:val="34"/>
    <w:qFormat w:val="1"/>
    <w:rsid w:val="00C479A2"/>
    <w:pPr>
      <w:ind w:left="720"/>
      <w:contextualSpacing w:val="1"/>
    </w:pPr>
  </w:style>
  <w:style w:type="table" w:styleId="af1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566D1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566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566D1"/>
    <w:rPr>
      <w:vertAlign w:val="superscript"/>
    </w:rPr>
  </w:style>
  <w:style w:type="table" w:styleId="af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MfsGZOO9mefbm5MdsxWmCCukhA==">CgMxLjAyCWguM3pueXNoNzIJaC40ZDM0b2c4MgloLjNyZGNyam4yCWguM2R5NnZrbTIIaC5sbnhiejkyCGguZ2pkZ3hzMgloLjJzOGV5bzEyCWguMzBqMHpsbDIOaC5ldGlzajg3Yzh4eWwyCWguMXQzaDVzZjIPaWQudzV4ZzhlZ2Z4OXVkMgloLjJldDkycDAyCWguMTdkcDh2dTIIaC50eWpjd3QyCWguMWZvYjl0ZTgAciExSVFRV1RZNE5CUHFkaHYzNVFwcTF1V1ZQODZqeXZLT2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2024-09-30T14:16:00Z</dcterms:created>
  <dc:creator>Gałązka Anna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